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000" w:type="dxa"/>
        <w:jc w:val="center"/>
        <w:tblCellSpacing w:w="0" w:type="dxa"/>
        <w:tblCellMar>
          <w:left w:w="0" w:type="dxa"/>
          <w:right w:w="0" w:type="dxa"/>
        </w:tblCellMar>
        <w:tblLook w:val="04A0"/>
      </w:tblPr>
      <w:tblGrid>
        <w:gridCol w:w="9030"/>
      </w:tblGrid>
      <w:tr w:rsidR="003A022F" w:rsidTr="003A022F">
        <w:trPr>
          <w:trHeight w:val="4395"/>
          <w:tblCellSpacing w:w="0" w:type="dxa"/>
          <w:jc w:val="center"/>
        </w:trPr>
        <w:tc>
          <w:tcPr>
            <w:tcW w:w="9000" w:type="dxa"/>
            <w:vAlign w:val="center"/>
            <w:hideMark/>
          </w:tcPr>
          <w:p w:rsidR="003A022F" w:rsidRDefault="003A022F">
            <w:pPr>
              <w:rPr>
                <w:rFonts w:ascii="Times New Roman" w:hAnsi="Times New Roman"/>
                <w:color w:val="373737"/>
                <w:sz w:val="24"/>
                <w:szCs w:val="24"/>
              </w:rPr>
            </w:pPr>
            <w:r>
              <w:rPr>
                <w:rFonts w:ascii="Times New Roman" w:hAnsi="Times New Roman"/>
                <w:noProof/>
                <w:color w:val="373737"/>
                <w:sz w:val="24"/>
                <w:szCs w:val="24"/>
              </w:rPr>
              <w:drawing>
                <wp:inline distT="0" distB="0" distL="0" distR="0">
                  <wp:extent cx="5715000" cy="1939866"/>
                  <wp:effectExtent l="19050" t="0" r="0" b="0"/>
                  <wp:docPr id="1" name="Picture 16" descr="An Important Membership for You When Travelling Abr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An Important Membership for You When Travelling Abroad!"/>
                          <pic:cNvPicPr>
                            <a:picLocks noChangeAspect="1" noChangeArrowheads="1"/>
                          </pic:cNvPicPr>
                        </pic:nvPicPr>
                        <pic:blipFill>
                          <a:blip r:embed="rId5" cstate="print"/>
                          <a:stretch>
                            <a:fillRect/>
                          </a:stretch>
                        </pic:blipFill>
                        <pic:spPr bwMode="auto">
                          <a:xfrm>
                            <a:off x="0" y="0"/>
                            <a:ext cx="5715000" cy="1939866"/>
                          </a:xfrm>
                          <a:prstGeom prst="rect">
                            <a:avLst/>
                          </a:prstGeom>
                          <a:noFill/>
                          <a:ln w="9525">
                            <a:noFill/>
                            <a:miter lim="800000"/>
                            <a:headEnd/>
                            <a:tailEnd/>
                          </a:ln>
                        </pic:spPr>
                      </pic:pic>
                    </a:graphicData>
                  </a:graphic>
                </wp:inline>
              </w:drawing>
            </w:r>
          </w:p>
        </w:tc>
      </w:tr>
      <w:tr w:rsidR="003A022F" w:rsidTr="003A022F">
        <w:trPr>
          <w:tblCellSpacing w:w="0" w:type="dxa"/>
          <w:jc w:val="center"/>
        </w:trPr>
        <w:tc>
          <w:tcPr>
            <w:tcW w:w="0" w:type="auto"/>
            <w:vAlign w:val="center"/>
            <w:hideMark/>
          </w:tcPr>
          <w:p w:rsidR="003A022F" w:rsidRDefault="003A022F">
            <w:pPr>
              <w:jc w:val="center"/>
              <w:rPr>
                <w:rFonts w:ascii="Times New Roman" w:eastAsia="Times New Roman" w:hAnsi="Times New Roman"/>
                <w:sz w:val="20"/>
                <w:szCs w:val="20"/>
              </w:rPr>
            </w:pPr>
            <w:r>
              <w:rPr>
                <w:rFonts w:ascii="Times New Roman" w:eastAsia="Times New Roman" w:hAnsi="Times New Roman"/>
                <w:noProof/>
                <w:sz w:val="20"/>
                <w:szCs w:val="20"/>
              </w:rPr>
              <w:drawing>
                <wp:inline distT="0" distB="0" distL="0" distR="0">
                  <wp:extent cx="4962525" cy="628650"/>
                  <wp:effectExtent l="19050" t="0" r="9525" b="0"/>
                  <wp:docPr id="2" name="Picture 20" descr="Mer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Merck"/>
                          <pic:cNvPicPr>
                            <a:picLocks noChangeAspect="1" noChangeArrowheads="1"/>
                          </pic:cNvPicPr>
                        </pic:nvPicPr>
                        <pic:blipFill>
                          <a:blip r:embed="rId6" cstate="print"/>
                          <a:srcRect/>
                          <a:stretch>
                            <a:fillRect/>
                          </a:stretch>
                        </pic:blipFill>
                        <pic:spPr bwMode="auto">
                          <a:xfrm>
                            <a:off x="0" y="0"/>
                            <a:ext cx="4962525" cy="628650"/>
                          </a:xfrm>
                          <a:prstGeom prst="rect">
                            <a:avLst/>
                          </a:prstGeom>
                          <a:noFill/>
                          <a:ln w="9525">
                            <a:noFill/>
                            <a:miter lim="800000"/>
                            <a:headEnd/>
                            <a:tailEnd/>
                          </a:ln>
                        </pic:spPr>
                      </pic:pic>
                    </a:graphicData>
                  </a:graphic>
                </wp:inline>
              </w:drawing>
            </w:r>
          </w:p>
        </w:tc>
      </w:tr>
      <w:tr w:rsidR="003A022F" w:rsidTr="003A022F">
        <w:trPr>
          <w:tblCellSpacing w:w="0" w:type="dxa"/>
          <w:jc w:val="center"/>
        </w:trPr>
        <w:tc>
          <w:tcPr>
            <w:tcW w:w="0" w:type="auto"/>
            <w:vAlign w:val="center"/>
          </w:tcPr>
          <w:p w:rsidR="003A022F" w:rsidRDefault="003A022F">
            <w:pPr>
              <w:jc w:val="center"/>
              <w:rPr>
                <w:rFonts w:ascii="Times New Roman" w:eastAsia="Times New Roman" w:hAnsi="Times New Roman"/>
                <w:sz w:val="20"/>
                <w:szCs w:val="20"/>
              </w:rPr>
            </w:pPr>
          </w:p>
          <w:p w:rsidR="003A022F" w:rsidRDefault="003A022F">
            <w:pPr>
              <w:ind w:left="432" w:right="432"/>
              <w:rPr>
                <w:rFonts w:ascii="Arial" w:hAnsi="Arial" w:cs="Arial"/>
                <w:b/>
                <w:color w:val="0D2B88"/>
                <w:sz w:val="32"/>
              </w:rPr>
            </w:pPr>
            <w:r>
              <w:rPr>
                <w:rFonts w:ascii="Arial" w:hAnsi="Arial" w:cs="Arial"/>
                <w:b/>
                <w:color w:val="0D2B88"/>
                <w:sz w:val="32"/>
              </w:rPr>
              <w:t xml:space="preserve">Someone to Count On </w:t>
            </w:r>
          </w:p>
          <w:p w:rsidR="003A022F" w:rsidRDefault="003A022F">
            <w:pPr>
              <w:ind w:left="432" w:right="432"/>
              <w:rPr>
                <w:rFonts w:ascii="Arial" w:hAnsi="Arial" w:cs="Arial"/>
              </w:rPr>
            </w:pPr>
          </w:p>
          <w:p w:rsidR="003A022F" w:rsidRDefault="003A022F">
            <w:pPr>
              <w:ind w:left="432" w:right="432"/>
              <w:rPr>
                <w:rFonts w:ascii="Arial" w:hAnsi="Arial" w:cs="Arial"/>
              </w:rPr>
            </w:pPr>
            <w:r>
              <w:rPr>
                <w:rFonts w:ascii="Arial" w:hAnsi="Arial" w:cs="Arial"/>
              </w:rPr>
              <w:t>At [insert organization name], we partner with International SOS, the leading global medical and security assistance company, to oversee the health, safety and well-being of our employees when projects, meetings or other work takes them outside their home country. International SOS is pleased to introduce a new tool to help you easily access online advice and better understand when to call one of their 27 global assistance centers that operate around the clock with logistical experts available to answer any of your concerns. No issue or question is too small, especially when you’re away from home and familiar surroundings.</w:t>
            </w:r>
          </w:p>
          <w:p w:rsidR="003A022F" w:rsidRDefault="003A022F">
            <w:pPr>
              <w:ind w:left="432" w:right="432"/>
              <w:rPr>
                <w:rFonts w:ascii="Arial" w:hAnsi="Arial" w:cs="Arial"/>
              </w:rPr>
            </w:pPr>
          </w:p>
          <w:p w:rsidR="003A022F" w:rsidRDefault="003A022F">
            <w:pPr>
              <w:ind w:left="432" w:right="432"/>
              <w:rPr>
                <w:rFonts w:ascii="Arial" w:hAnsi="Arial" w:cs="Arial"/>
              </w:rPr>
            </w:pPr>
            <w:r>
              <w:rPr>
                <w:rFonts w:ascii="Arial" w:hAnsi="Arial" w:cs="Arial"/>
              </w:rPr>
              <w:t xml:space="preserve">This </w:t>
            </w:r>
            <w:hyperlink r:id="rId7" w:history="1">
              <w:r>
                <w:rPr>
                  <w:rStyle w:val="Hyperlink"/>
                  <w:rFonts w:ascii="Arial" w:hAnsi="Arial" w:cs="Arial"/>
                  <w:color w:val="1198DA"/>
                </w:rPr>
                <w:t xml:space="preserve">interactive Membership </w:t>
              </w:r>
              <w:proofErr w:type="spellStart"/>
              <w:r>
                <w:rPr>
                  <w:rStyle w:val="Hyperlink"/>
                  <w:rFonts w:ascii="Arial" w:hAnsi="Arial" w:cs="Arial"/>
                  <w:color w:val="1198DA"/>
                </w:rPr>
                <w:t>eGuide</w:t>
              </w:r>
              <w:proofErr w:type="spellEnd"/>
            </w:hyperlink>
            <w:r>
              <w:rPr>
                <w:rFonts w:ascii="Arial" w:hAnsi="Arial" w:cs="Arial"/>
              </w:rPr>
              <w:t xml:space="preserve"> tells you how to easily prepare for an overseas trip or assignment, as well as:</w:t>
            </w:r>
          </w:p>
          <w:p w:rsidR="003A022F" w:rsidRDefault="003A022F">
            <w:pPr>
              <w:ind w:left="432" w:right="432"/>
              <w:rPr>
                <w:rFonts w:ascii="Arial" w:hAnsi="Arial" w:cs="Arial"/>
              </w:rPr>
            </w:pPr>
          </w:p>
          <w:p w:rsidR="003A022F" w:rsidRDefault="003A022F" w:rsidP="00333187">
            <w:pPr>
              <w:pStyle w:val="ListParagraph"/>
              <w:numPr>
                <w:ilvl w:val="0"/>
                <w:numId w:val="1"/>
              </w:numPr>
              <w:ind w:right="432"/>
              <w:rPr>
                <w:rFonts w:ascii="Arial" w:hAnsi="Arial" w:cs="Arial"/>
              </w:rPr>
            </w:pPr>
            <w:r>
              <w:rPr>
                <w:rFonts w:ascii="Arial" w:hAnsi="Arial" w:cs="Arial"/>
              </w:rPr>
              <w:t>How and when to seek assistance;</w:t>
            </w:r>
          </w:p>
          <w:p w:rsidR="003A022F" w:rsidRDefault="003A022F" w:rsidP="00333187">
            <w:pPr>
              <w:pStyle w:val="ListParagraph"/>
              <w:numPr>
                <w:ilvl w:val="0"/>
                <w:numId w:val="1"/>
              </w:numPr>
              <w:ind w:right="432"/>
              <w:rPr>
                <w:rFonts w:ascii="Arial" w:hAnsi="Arial" w:cs="Arial"/>
              </w:rPr>
            </w:pPr>
            <w:r>
              <w:rPr>
                <w:rFonts w:ascii="Arial" w:hAnsi="Arial" w:cs="Arial"/>
              </w:rPr>
              <w:t>Find security advice about a destination online;</w:t>
            </w:r>
          </w:p>
          <w:p w:rsidR="003A022F" w:rsidRDefault="003A022F" w:rsidP="00333187">
            <w:pPr>
              <w:pStyle w:val="ListParagraph"/>
              <w:numPr>
                <w:ilvl w:val="0"/>
                <w:numId w:val="1"/>
              </w:numPr>
              <w:ind w:right="432"/>
              <w:rPr>
                <w:rFonts w:ascii="Arial" w:hAnsi="Arial" w:cs="Arial"/>
              </w:rPr>
            </w:pPr>
            <w:r>
              <w:rPr>
                <w:rFonts w:ascii="Arial" w:hAnsi="Arial" w:cs="Arial"/>
              </w:rPr>
              <w:t>Information on how to use the International SOS Assistance App.</w:t>
            </w:r>
          </w:p>
          <w:p w:rsidR="003A022F" w:rsidRDefault="003A022F">
            <w:pPr>
              <w:ind w:left="432" w:right="432"/>
              <w:rPr>
                <w:rFonts w:ascii="Arial" w:hAnsi="Arial" w:cs="Arial"/>
              </w:rPr>
            </w:pPr>
          </w:p>
          <w:p w:rsidR="003A022F" w:rsidRDefault="003A022F">
            <w:pPr>
              <w:ind w:left="432" w:right="432"/>
              <w:rPr>
                <w:rFonts w:ascii="Times New Roman" w:eastAsia="Times New Roman" w:hAnsi="Times New Roman"/>
                <w:sz w:val="20"/>
                <w:szCs w:val="20"/>
              </w:rPr>
            </w:pPr>
            <w:r>
              <w:rPr>
                <w:rFonts w:ascii="Arial" w:hAnsi="Arial" w:cs="Arial"/>
              </w:rPr>
              <w:t>International SOS is our trusted partner when you travel or live away from home, so please take a few minutes to review this tool to help you stay healthy, safe and secure.</w:t>
            </w:r>
          </w:p>
        </w:tc>
      </w:tr>
    </w:tbl>
    <w:p w:rsidR="00F35056" w:rsidRDefault="00F35056"/>
    <w:sectPr w:rsidR="00F35056" w:rsidSect="00F3505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DB0A19"/>
    <w:multiLevelType w:val="hybridMultilevel"/>
    <w:tmpl w:val="44DE7D02"/>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3A022F"/>
    <w:rsid w:val="000115DC"/>
    <w:rsid w:val="00025C42"/>
    <w:rsid w:val="000676C0"/>
    <w:rsid w:val="000A545E"/>
    <w:rsid w:val="000E3935"/>
    <w:rsid w:val="000E413C"/>
    <w:rsid w:val="00122A86"/>
    <w:rsid w:val="00127244"/>
    <w:rsid w:val="00154432"/>
    <w:rsid w:val="00172900"/>
    <w:rsid w:val="00183883"/>
    <w:rsid w:val="00192953"/>
    <w:rsid w:val="00194D17"/>
    <w:rsid w:val="001D077F"/>
    <w:rsid w:val="001D5A6A"/>
    <w:rsid w:val="001E6A0F"/>
    <w:rsid w:val="001F12DD"/>
    <w:rsid w:val="001F4784"/>
    <w:rsid w:val="002212A5"/>
    <w:rsid w:val="00222037"/>
    <w:rsid w:val="002917AE"/>
    <w:rsid w:val="0029469E"/>
    <w:rsid w:val="002A2CB5"/>
    <w:rsid w:val="002B2C77"/>
    <w:rsid w:val="002C2738"/>
    <w:rsid w:val="002D7B52"/>
    <w:rsid w:val="002E57E1"/>
    <w:rsid w:val="0030407E"/>
    <w:rsid w:val="00324E00"/>
    <w:rsid w:val="00357F85"/>
    <w:rsid w:val="003A022F"/>
    <w:rsid w:val="003B067B"/>
    <w:rsid w:val="003B176B"/>
    <w:rsid w:val="003D4098"/>
    <w:rsid w:val="003F2F84"/>
    <w:rsid w:val="00410B3F"/>
    <w:rsid w:val="0043208C"/>
    <w:rsid w:val="00446C36"/>
    <w:rsid w:val="004521C0"/>
    <w:rsid w:val="00472391"/>
    <w:rsid w:val="005056C9"/>
    <w:rsid w:val="005158A6"/>
    <w:rsid w:val="0052273C"/>
    <w:rsid w:val="005659F0"/>
    <w:rsid w:val="005747E7"/>
    <w:rsid w:val="0058043D"/>
    <w:rsid w:val="005B2B79"/>
    <w:rsid w:val="005B32A2"/>
    <w:rsid w:val="005C3169"/>
    <w:rsid w:val="005E195A"/>
    <w:rsid w:val="00623D72"/>
    <w:rsid w:val="00644DA9"/>
    <w:rsid w:val="00645D3C"/>
    <w:rsid w:val="00682A69"/>
    <w:rsid w:val="006A0D49"/>
    <w:rsid w:val="006B4536"/>
    <w:rsid w:val="006C558F"/>
    <w:rsid w:val="006D6420"/>
    <w:rsid w:val="006E1A6E"/>
    <w:rsid w:val="006E2CF1"/>
    <w:rsid w:val="006F13C4"/>
    <w:rsid w:val="0073182A"/>
    <w:rsid w:val="007324BF"/>
    <w:rsid w:val="00740AE0"/>
    <w:rsid w:val="007638BD"/>
    <w:rsid w:val="00773DE9"/>
    <w:rsid w:val="00777874"/>
    <w:rsid w:val="007840AE"/>
    <w:rsid w:val="00794CF5"/>
    <w:rsid w:val="007C0879"/>
    <w:rsid w:val="007D021D"/>
    <w:rsid w:val="008253E9"/>
    <w:rsid w:val="00842F44"/>
    <w:rsid w:val="00891ECA"/>
    <w:rsid w:val="00893013"/>
    <w:rsid w:val="0089370B"/>
    <w:rsid w:val="00895B9B"/>
    <w:rsid w:val="00895BD1"/>
    <w:rsid w:val="008A24E1"/>
    <w:rsid w:val="008C1A32"/>
    <w:rsid w:val="008C5FAF"/>
    <w:rsid w:val="008F3644"/>
    <w:rsid w:val="009239F0"/>
    <w:rsid w:val="00955DC4"/>
    <w:rsid w:val="009C6FAF"/>
    <w:rsid w:val="009D44CE"/>
    <w:rsid w:val="00A2728A"/>
    <w:rsid w:val="00A45325"/>
    <w:rsid w:val="00A64446"/>
    <w:rsid w:val="00A92336"/>
    <w:rsid w:val="00A934B6"/>
    <w:rsid w:val="00AD63D8"/>
    <w:rsid w:val="00AD67BC"/>
    <w:rsid w:val="00AF6EB1"/>
    <w:rsid w:val="00B374D3"/>
    <w:rsid w:val="00B41291"/>
    <w:rsid w:val="00B50E2A"/>
    <w:rsid w:val="00BD2A8B"/>
    <w:rsid w:val="00BF1D18"/>
    <w:rsid w:val="00C03DCD"/>
    <w:rsid w:val="00C37872"/>
    <w:rsid w:val="00C72726"/>
    <w:rsid w:val="00C75A23"/>
    <w:rsid w:val="00C814F4"/>
    <w:rsid w:val="00C82993"/>
    <w:rsid w:val="00CB774E"/>
    <w:rsid w:val="00CE5781"/>
    <w:rsid w:val="00CF6518"/>
    <w:rsid w:val="00D00388"/>
    <w:rsid w:val="00D24015"/>
    <w:rsid w:val="00D943E6"/>
    <w:rsid w:val="00DB4113"/>
    <w:rsid w:val="00DC7DAA"/>
    <w:rsid w:val="00DF3D6D"/>
    <w:rsid w:val="00E1012C"/>
    <w:rsid w:val="00E33B44"/>
    <w:rsid w:val="00E55FE7"/>
    <w:rsid w:val="00E563F3"/>
    <w:rsid w:val="00E855CC"/>
    <w:rsid w:val="00E872CA"/>
    <w:rsid w:val="00E95FE2"/>
    <w:rsid w:val="00ED38E6"/>
    <w:rsid w:val="00EE63D2"/>
    <w:rsid w:val="00F31F44"/>
    <w:rsid w:val="00F35056"/>
    <w:rsid w:val="00FD5D79"/>
    <w:rsid w:val="00FD75C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022F"/>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A022F"/>
    <w:rPr>
      <w:color w:val="0000FF"/>
      <w:u w:val="single"/>
    </w:rPr>
  </w:style>
  <w:style w:type="paragraph" w:styleId="ListParagraph">
    <w:name w:val="List Paragraph"/>
    <w:basedOn w:val="Normal"/>
    <w:uiPriority w:val="34"/>
    <w:qFormat/>
    <w:rsid w:val="003A022F"/>
    <w:pPr>
      <w:ind w:left="720"/>
    </w:pPr>
  </w:style>
  <w:style w:type="paragraph" w:styleId="BalloonText">
    <w:name w:val="Balloon Text"/>
    <w:basedOn w:val="Normal"/>
    <w:link w:val="BalloonTextChar"/>
    <w:uiPriority w:val="99"/>
    <w:semiHidden/>
    <w:unhideWhenUsed/>
    <w:rsid w:val="003A022F"/>
    <w:rPr>
      <w:rFonts w:ascii="Tahoma" w:hAnsi="Tahoma" w:cs="Tahoma"/>
      <w:sz w:val="16"/>
      <w:szCs w:val="16"/>
    </w:rPr>
  </w:style>
  <w:style w:type="character" w:customStyle="1" w:styleId="BalloonTextChar">
    <w:name w:val="Balloon Text Char"/>
    <w:basedOn w:val="DefaultParagraphFont"/>
    <w:link w:val="BalloonText"/>
    <w:uiPriority w:val="99"/>
    <w:semiHidden/>
    <w:rsid w:val="003A022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20526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nternationalsos.com/elearning/securit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173</Words>
  <Characters>992</Characters>
  <Application>Microsoft Office Word</Application>
  <DocSecurity>0</DocSecurity>
  <Lines>8</Lines>
  <Paragraphs>2</Paragraphs>
  <ScaleCrop>false</ScaleCrop>
  <Company/>
  <LinksUpToDate>false</LinksUpToDate>
  <CharactersWithSpaces>1163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jessica.kemling</dc:creator>
  <cp:lastModifiedBy>jessica.kemling</cp:lastModifiedBy>
  <cp:revision>2</cp:revision>
  <dcterms:created xsi:type="dcterms:W3CDTF">2014-09-24T15:24:00Z</dcterms:created>
  <dcterms:modified xsi:type="dcterms:W3CDTF">2014-12-29T16:46:00Z</dcterms:modified>
</cp:coreProperties>
</file>